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蛟河市白石山镇综合服务中心2025年部门预算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yellow"/>
          <w:lang w:val="en-US" w:eastAsia="zh-CN"/>
        </w:rPr>
        <w:t>蛟河市白石山镇综合服务中心</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1"/>
        <w:widowControl/>
        <w:spacing w:line="620" w:lineRule="exact"/>
        <w:ind w:firstLine="627" w:firstLineChars="196"/>
        <w:rPr>
          <w:rFonts w:hint="eastAsia" w:ascii="仿宋" w:hAnsi="仿宋" w:eastAsia="仿宋"/>
          <w:kern w:val="0"/>
          <w:sz w:val="32"/>
          <w:szCs w:val="32"/>
          <w:lang w:eastAsia="zh-CN"/>
        </w:rPr>
      </w:pPr>
      <w:r>
        <w:rPr>
          <w:rFonts w:hint="eastAsia" w:ascii="仿宋" w:hAnsi="仿宋" w:eastAsia="仿宋" w:cs="仿宋"/>
          <w:sz w:val="32"/>
          <w:szCs w:val="32"/>
        </w:rPr>
        <w:t>单位</w:t>
      </w:r>
      <w:r>
        <w:rPr>
          <w:rFonts w:hint="eastAsia" w:ascii="仿宋" w:hAnsi="仿宋" w:eastAsia="仿宋" w:cs="仿宋"/>
          <w:kern w:val="0"/>
          <w:sz w:val="32"/>
          <w:szCs w:val="32"/>
        </w:rPr>
        <w:t>名称：蛟河市</w:t>
      </w:r>
      <w:r>
        <w:rPr>
          <w:rFonts w:hint="eastAsia" w:ascii="仿宋" w:hAnsi="仿宋" w:eastAsia="仿宋" w:cs="仿宋"/>
          <w:kern w:val="0"/>
          <w:sz w:val="32"/>
          <w:szCs w:val="32"/>
          <w:lang w:val="en-US" w:eastAsia="zh-CN"/>
        </w:rPr>
        <w:t>白石山镇</w:t>
      </w:r>
      <w:r>
        <w:rPr>
          <w:rFonts w:hint="eastAsia" w:ascii="仿宋" w:hAnsi="仿宋" w:eastAsia="仿宋" w:cs="仿宋"/>
          <w:kern w:val="0"/>
          <w:sz w:val="32"/>
          <w:szCs w:val="32"/>
          <w:lang w:eastAsia="zh-CN"/>
        </w:rPr>
        <w:t>综合服务中心</w:t>
      </w:r>
    </w:p>
    <w:p>
      <w:pPr>
        <w:pStyle w:val="11"/>
        <w:widowControl/>
        <w:spacing w:line="620" w:lineRule="exact"/>
        <w:ind w:firstLine="627" w:firstLineChars="196"/>
        <w:rPr>
          <w:rFonts w:ascii="仿宋" w:hAnsi="仿宋" w:eastAsia="仿宋"/>
          <w:kern w:val="0"/>
          <w:sz w:val="32"/>
          <w:szCs w:val="32"/>
        </w:rPr>
      </w:pPr>
      <w:r>
        <w:rPr>
          <w:rFonts w:hint="eastAsia" w:ascii="仿宋" w:hAnsi="仿宋" w:eastAsia="仿宋" w:cs="仿宋"/>
          <w:kern w:val="0"/>
          <w:sz w:val="32"/>
          <w:szCs w:val="32"/>
        </w:rPr>
        <w:t>成立时间：</w:t>
      </w:r>
      <w:r>
        <w:rPr>
          <w:rFonts w:ascii="仿宋" w:hAnsi="仿宋" w:eastAsia="仿宋" w:cs="仿宋"/>
          <w:kern w:val="0"/>
          <w:sz w:val="32"/>
          <w:szCs w:val="32"/>
        </w:rPr>
        <w:t>20</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年</w:t>
      </w:r>
    </w:p>
    <w:p>
      <w:pPr>
        <w:pStyle w:val="4"/>
        <w:spacing w:before="0" w:beforeAutospacing="0" w:after="0" w:afterAutospacing="0" w:line="620" w:lineRule="exact"/>
        <w:ind w:firstLine="640" w:firstLineChars="200"/>
        <w:rPr>
          <w:rFonts w:hint="eastAsia" w:ascii="仿宋_GB2312" w:hAnsi="仿宋_GB2312" w:eastAsia="仿宋_GB2312" w:cs="仿宋_GB2312"/>
          <w:kern w:val="2"/>
          <w:sz w:val="32"/>
          <w:szCs w:val="32"/>
        </w:rPr>
      </w:pPr>
      <w:r>
        <w:rPr>
          <w:rFonts w:hint="eastAsia" w:ascii="仿宋" w:hAnsi="仿宋" w:eastAsia="仿宋" w:cs="仿宋"/>
          <w:sz w:val="32"/>
          <w:szCs w:val="32"/>
        </w:rPr>
        <w:t>单位性质：</w:t>
      </w:r>
      <w:r>
        <w:rPr>
          <w:rFonts w:hint="eastAsia" w:ascii="仿宋" w:hAnsi="仿宋" w:eastAsia="仿宋" w:cs="仿宋"/>
          <w:kern w:val="0"/>
          <w:sz w:val="32"/>
          <w:szCs w:val="32"/>
        </w:rPr>
        <w:t>蛟河市</w:t>
      </w:r>
      <w:r>
        <w:rPr>
          <w:rFonts w:hint="eastAsia" w:ascii="仿宋" w:hAnsi="仿宋" w:eastAsia="仿宋" w:cs="仿宋"/>
          <w:kern w:val="0"/>
          <w:sz w:val="32"/>
          <w:szCs w:val="32"/>
          <w:lang w:val="en-US" w:eastAsia="zh-CN"/>
        </w:rPr>
        <w:t>白石山镇</w:t>
      </w:r>
      <w:r>
        <w:rPr>
          <w:rFonts w:hint="eastAsia" w:ascii="仿宋" w:hAnsi="仿宋" w:eastAsia="仿宋" w:cs="仿宋"/>
          <w:kern w:val="0"/>
          <w:sz w:val="32"/>
          <w:szCs w:val="32"/>
          <w:lang w:eastAsia="zh-CN"/>
        </w:rPr>
        <w:t>综合服务中心为隶属于蛟河市</w:t>
      </w:r>
      <w:r>
        <w:rPr>
          <w:rFonts w:hint="eastAsia" w:ascii="仿宋" w:hAnsi="仿宋" w:eastAsia="仿宋" w:cs="仿宋"/>
          <w:kern w:val="0"/>
          <w:sz w:val="32"/>
          <w:szCs w:val="32"/>
          <w:lang w:val="en-US" w:eastAsia="zh-CN"/>
        </w:rPr>
        <w:t>白石山镇人民政府</w:t>
      </w:r>
      <w:r>
        <w:rPr>
          <w:rFonts w:hint="eastAsia" w:ascii="仿宋" w:hAnsi="仿宋" w:eastAsia="仿宋" w:cs="仿宋"/>
          <w:kern w:val="0"/>
          <w:sz w:val="32"/>
          <w:szCs w:val="32"/>
          <w:lang w:eastAsia="zh-CN"/>
        </w:rPr>
        <w:t>的全额拨款公益一类事业单位。</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主要</w:t>
      </w:r>
      <w:r>
        <w:rPr>
          <w:rFonts w:hint="eastAsia" w:ascii="仿宋" w:hAnsi="仿宋" w:eastAsia="仿宋" w:cs="仿宋"/>
          <w:kern w:val="0"/>
          <w:sz w:val="32"/>
          <w:szCs w:val="32"/>
          <w:lang w:eastAsia="zh-CN"/>
        </w:rPr>
        <w:t>职责</w:t>
      </w:r>
      <w:r>
        <w:rPr>
          <w:rFonts w:hint="eastAsia" w:ascii="仿宋" w:hAnsi="仿宋" w:eastAsia="仿宋" w:cs="仿宋"/>
          <w:kern w:val="0"/>
          <w:sz w:val="32"/>
          <w:szCs w:val="32"/>
        </w:rPr>
        <w:t>：</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1、为辖区内农业、农机技术推广，农业技能培训，农业机械安全等相关工作提供技术支持和服务保障。做好农作物病虫草鼠防治及为农民提供配方施肥用肥指导等工作。 </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2、负责做好辖区内畜牧产业发展、动物疫病防控、动物及动物产品检疫工作，做好畜产品质量安全服务保障，做好畜禽粪污资源化利用等畜牧业标准化技术推广和应用，落实各项强牧慧牧政策。</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3、为农村集体经济组织建设、农民专业合作社经济组织、集体资产服务、农村“三资”管理工作提供服务供保障。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4、负责辖区内农村土地承包、土地承包纠纷 调整、农民 负担监督、农村集体资产和农村财务、农村合作经济组织、农业产业化经营、农村经济体系建设、农业政策性 保险合作、 </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-社会化服务体系指导工作、农村经济统计与分析工作、农村经济政策宣传等工作。负责农村宅基地“三到户”和流转指导工作。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5、负责辖区内林业政策宣传、林业资源管理、组织林业生产、林业科技推广和社会化服务等工作。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6、负责协调辖区内水资源管理、水土保持、水利工程设施服务、农村水利基本建设、水产技术引进试验示范推广，负责辖区内水生动植物防疫、疫病防控等涉水事务。</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7、开展耕地保护特别是基本农田保护，具体实施基本农田划区定界，为村(社区)公用设施、公用事业建设用地提供服务保障。协助开展本辖区土地资源调查、分等定级、登记、统计、地籍档案管理工作。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8、开展辖区内创业服务、就业援助、劳动力资源普查统计等工作，办理就业登记、失业登记、城镇居民基本医疗保险和农村新型养老保险等相关事务。</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9、组织开展本地人口与计划生育宣传教育及辖区人口统计、流动人口服务等工作。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10、负责组织开展农村特色文体活动，动员农村群众参与大众健身活动和体育竞赛、指导农村文化活动室、图书室工工屏活动管押农村健身设施和器材保护民间和民族文化遗产等工作。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11、负责辖区内退役军人信息采集、创业扶持、矛盾化-解、政策宣传、权益保障、政策落实等退役军人事务和其其他优抚对象服务保障工作。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12、负责辖区内突发性动植物、农作物病虫害，重 大动 物疫病、水旱灾害、森林火灾等应急服务工作。负责灾情核查统计和灾民救助工作。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13、组织实施改善辖区内村庄整洁，村容村貌提升等农业人居环境整治工作，建立长效化管理机制，检查村屯日常保洁、垃圾转运、绿化美化、河道环境治理等工作。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14、做好农业、林业、畜牧业、水利等技术人员的管理与培训工作。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15、负责行政审批服务窗口具体事务性工作。</w:t>
      </w:r>
    </w:p>
    <w:p>
      <w:pPr>
        <w:pStyle w:val="4"/>
        <w:spacing w:before="0" w:beforeAutospacing="0" w:after="0" w:afterAutospacing="0" w:line="6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16、完成党工委、</w:t>
      </w:r>
      <w:r>
        <w:rPr>
          <w:rFonts w:hint="eastAsia" w:ascii="仿宋" w:hAnsi="仿宋" w:eastAsia="仿宋" w:cs="仿宋"/>
          <w:kern w:val="0"/>
          <w:sz w:val="32"/>
          <w:szCs w:val="32"/>
          <w:lang w:val="en-US" w:eastAsia="zh-CN"/>
        </w:rPr>
        <w:t>镇政府</w:t>
      </w:r>
      <w:r>
        <w:rPr>
          <w:rFonts w:hint="eastAsia" w:ascii="仿宋" w:hAnsi="仿宋" w:eastAsia="仿宋" w:cs="仿宋"/>
          <w:kern w:val="0"/>
          <w:sz w:val="32"/>
          <w:szCs w:val="32"/>
        </w:rPr>
        <w:t>交办的其他工作任务。</w:t>
      </w:r>
    </w:p>
    <w:p>
      <w:pPr>
        <w:jc w:val="left"/>
        <w:rPr>
          <w:rFonts w:ascii="仿宋" w:hAnsi="仿宋" w:eastAsia="仿宋" w:cs="Times New Roman"/>
          <w:sz w:val="32"/>
          <w:szCs w:val="32"/>
        </w:rPr>
      </w:pPr>
      <w:r>
        <w:rPr>
          <w:rFonts w:ascii="仿宋" w:hAnsi="仿宋" w:eastAsia="仿宋" w:cs="仿宋"/>
          <w:sz w:val="32"/>
          <w:szCs w:val="32"/>
        </w:rPr>
        <w:t xml:space="preserve">   </w:t>
      </w:r>
      <w:r>
        <w:rPr>
          <w:rFonts w:hint="eastAsia" w:ascii="仿宋" w:hAnsi="仿宋" w:eastAsia="仿宋" w:cs="仿宋"/>
          <w:sz w:val="32"/>
          <w:szCs w:val="32"/>
        </w:rPr>
        <w:t>二、机构设置</w:t>
      </w:r>
    </w:p>
    <w:p>
      <w:pPr>
        <w:pStyle w:val="13"/>
        <w:ind w:firstLine="627" w:firstLineChars="196"/>
        <w:rPr>
          <w:rFonts w:hint="eastAsia" w:ascii="仿宋_GB2312" w:hAnsi="仿宋_GB2312" w:cs="仿宋_GB2312"/>
          <w:kern w:val="0"/>
        </w:rPr>
      </w:pPr>
      <w:r>
        <w:rPr>
          <w:rFonts w:hint="eastAsia" w:ascii="仿宋" w:hAnsi="仿宋" w:eastAsia="仿宋" w:cs="仿宋"/>
          <w:kern w:val="0"/>
        </w:rPr>
        <w:t>机构设置包括：</w:t>
      </w:r>
      <w:r>
        <w:rPr>
          <w:rFonts w:hint="eastAsia" w:ascii="仿宋_GB2312" w:hAnsi="仿宋_GB2312" w:cs="仿宋_GB2312"/>
          <w:kern w:val="0"/>
        </w:rPr>
        <w:t>蛟河市</w:t>
      </w:r>
      <w:r>
        <w:rPr>
          <w:rFonts w:hint="eastAsia" w:ascii="仿宋_GB2312" w:hAnsi="仿宋_GB2312" w:cs="仿宋_GB2312"/>
          <w:kern w:val="0"/>
          <w:lang w:val="en-US" w:eastAsia="zh-CN"/>
        </w:rPr>
        <w:t>白石山镇</w:t>
      </w:r>
      <w:r>
        <w:rPr>
          <w:rFonts w:hint="eastAsia" w:ascii="仿宋_GB2312" w:hAnsi="仿宋_GB2312" w:cs="仿宋_GB2312"/>
          <w:kern w:val="0"/>
          <w:lang w:eastAsia="zh-CN"/>
        </w:rPr>
        <w:t>综合服务中心包括</w:t>
      </w:r>
      <w:r>
        <w:rPr>
          <w:rFonts w:hint="eastAsia" w:ascii="仿宋_GB2312" w:hAnsi="仿宋_GB2312" w:cs="仿宋_GB2312"/>
          <w:kern w:val="0"/>
        </w:rPr>
        <w:t>农业农机站、农经站、畜牧兽医站、水利所、自然资源所、林业站</w:t>
      </w:r>
    </w:p>
    <w:p>
      <w:pPr>
        <w:pStyle w:val="13"/>
        <w:rPr>
          <w:rFonts w:ascii="仿宋_GB2312" w:cs="Times New Roman"/>
          <w:kern w:val="0"/>
        </w:rPr>
      </w:pPr>
      <w:r>
        <w:rPr>
          <w:rFonts w:hint="eastAsia" w:ascii="仿宋_GB2312" w:hAnsi="仿宋_GB2312" w:cs="仿宋_GB2312"/>
          <w:kern w:val="0"/>
        </w:rPr>
        <w:t>、文体站、社会保障所（计生站）、退役军人服务站、人居环境整治办公室、应急服务站。</w:t>
      </w:r>
    </w:p>
    <w:p>
      <w:pPr>
        <w:pStyle w:val="13"/>
        <w:ind w:firstLine="630" w:firstLineChars="196"/>
        <w:rPr>
          <w:rFonts w:hint="eastAsia" w:ascii="仿宋_GB2312" w:hAnsi="仿宋_GB2312" w:cs="仿宋_GB2312"/>
          <w:kern w:val="0"/>
        </w:rPr>
      </w:pPr>
      <w:r>
        <w:rPr>
          <w:rFonts w:hint="eastAsia" w:ascii="仿宋_GB2312" w:hAnsi="仿宋_GB2312" w:cs="仿宋_GB2312"/>
          <w:b/>
          <w:bCs/>
          <w:kern w:val="0"/>
        </w:rPr>
        <w:t>人员情况</w:t>
      </w:r>
      <w:r>
        <w:rPr>
          <w:rFonts w:hint="eastAsia" w:ascii="仿宋_GB2312" w:hAnsi="仿宋_GB2312" w:cs="仿宋_GB2312"/>
          <w:kern w:val="0"/>
        </w:rPr>
        <w:t>：在职人员</w:t>
      </w:r>
      <w:r>
        <w:rPr>
          <w:rFonts w:hint="eastAsia" w:ascii="仿宋_GB2312" w:hAnsi="仿宋_GB2312" w:cs="仿宋_GB2312"/>
          <w:kern w:val="0"/>
          <w:lang w:val="en-US" w:eastAsia="zh-CN"/>
        </w:rPr>
        <w:t>43</w:t>
      </w:r>
      <w:r>
        <w:rPr>
          <w:rFonts w:hint="eastAsia" w:ascii="仿宋_GB2312" w:hAnsi="仿宋_GB2312" w:cs="仿宋_GB2312"/>
          <w:kern w:val="0"/>
        </w:rPr>
        <w:t>人，编制数</w:t>
      </w:r>
      <w:r>
        <w:rPr>
          <w:rFonts w:hint="eastAsia" w:ascii="仿宋_GB2312" w:hAnsi="仿宋_GB2312" w:cs="仿宋_GB2312"/>
          <w:kern w:val="0"/>
          <w:lang w:val="en-US" w:eastAsia="zh-CN"/>
        </w:rPr>
        <w:t>47</w:t>
      </w:r>
      <w:r>
        <w:rPr>
          <w:rFonts w:hint="eastAsia" w:ascii="仿宋_GB2312" w:hAnsi="仿宋_GB2312" w:cs="仿宋_GB2312"/>
          <w:kern w:val="0"/>
        </w:rPr>
        <w:t>人。</w:t>
      </w: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pPr>
        <w:pStyle w:val="12"/>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430.51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386.34 </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44.17</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人员增加 </w:t>
      </w:r>
      <w:r>
        <w:rPr>
          <w:rFonts w:hint="eastAsia" w:ascii="仿宋" w:hAnsi="仿宋" w:eastAsia="仿宋"/>
          <w:sz w:val="32"/>
          <w:szCs w:val="32"/>
          <w:highlight w:val="none"/>
          <w:lang w:eastAsia="zh-CN"/>
        </w:rPr>
        <w:t>。</w:t>
      </w:r>
    </w:p>
    <w:p>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pPr>
        <w:pStyle w:val="12"/>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430.51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430.45万元，占99%；上年结转 0.06 万元，占1%。本年收入中，一般公共预算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428.25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99%；政府性基金收入 2.2万元，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430.51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422.84</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98</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7.66</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lang w:eastAsia="zh-CN"/>
        </w:rPr>
        <w:t>%。</w:t>
      </w:r>
    </w:p>
    <w:p>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430.51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430.45万元，上年结转 0.06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322.2</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45.6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21.63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33.41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428.31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322.85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75</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5.46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25</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339.19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26.7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322.2万元，占75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办公经费等正常运转。</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45.6万元，占10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综合服务中心保险等。</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21.63万元，占5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综合服务中心医保类等。</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住房保障（类）支出33.41 万元，占10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综合服务中心住房公积金。</w:t>
      </w:r>
    </w:p>
    <w:p>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422.85万元，其中：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339.19</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10"/>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26.7</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lang w:eastAsia="zh-CN"/>
        </w:rPr>
        <w:t>。</w:t>
      </w:r>
    </w:p>
    <w:p>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pPr>
        <w:pStyle w:val="10"/>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p>
    <w:p>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9"/>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家行政单位以及**等**家参公管公事业单位的机关运行经费财政拨款预算</w:t>
      </w:r>
      <w:r>
        <w:rPr>
          <w:rFonts w:hint="eastAsia" w:ascii="仿宋" w:hAnsi="仿宋" w:eastAsia="仿宋"/>
          <w:sz w:val="32"/>
          <w:szCs w:val="32"/>
          <w:highlight w:val="none"/>
          <w:lang w:val="en-US" w:eastAsia="zh-CN"/>
        </w:rPr>
        <w:t xml:space="preserve">422.85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36.51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9</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人员增加</w:t>
      </w:r>
      <w:r>
        <w:rPr>
          <w:rFonts w:hint="eastAsia" w:ascii="仿宋" w:hAnsi="仿宋" w:eastAsia="仿宋"/>
          <w:sz w:val="32"/>
          <w:szCs w:val="32"/>
          <w:highlight w:val="none"/>
          <w:lang w:eastAsia="zh-CN"/>
        </w:rPr>
        <w:t>。</w:t>
      </w:r>
    </w:p>
    <w:p>
      <w:pPr>
        <w:pStyle w:val="9"/>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pPr>
        <w:pStyle w:val="9"/>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,增长/下降0%，主要原因是无</w:t>
      </w:r>
      <w:r>
        <w:rPr>
          <w:rFonts w:hint="eastAsia" w:ascii="仿宋" w:hAnsi="仿宋" w:eastAsia="仿宋"/>
          <w:kern w:val="0"/>
          <w:sz w:val="32"/>
          <w:szCs w:val="32"/>
          <w:highlight w:val="none"/>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9"/>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pPr>
        <w:pStyle w:val="9"/>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万元，项目内容为****主要目标为****。同时，将预算项目绩效目标进一步细化为绩效指标和指标值（附预算项目绩效目标申报表）。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jc w:val="left"/>
        <w:rPr>
          <w:rFonts w:ascii="仿宋" w:hAnsi="仿宋" w:eastAsia="仿宋"/>
          <w:sz w:val="32"/>
          <w:szCs w:val="32"/>
          <w:highlight w:val="none"/>
        </w:rPr>
      </w:pPr>
      <w:bookmarkStart w:id="0" w:name="_GoBack"/>
      <w:bookmarkEnd w:id="0"/>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7862424"/>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2839</Words>
  <Characters>3090</Characters>
  <Lines>19</Lines>
  <Paragraphs>5</Paragraphs>
  <TotalTime>21</TotalTime>
  <ScaleCrop>false</ScaleCrop>
  <LinksUpToDate>false</LinksUpToDate>
  <CharactersWithSpaces>3266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2025-01-23T02:23:01Z</cp:lastPrinted>
  <dcterms:modified xsi:type="dcterms:W3CDTF">2025-01-23T02:24:53Z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